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F2" w:rsidRPr="008E6122" w:rsidRDefault="00BF17F2" w:rsidP="00BF17F2">
      <w:pPr>
        <w:autoSpaceDE w:val="0"/>
        <w:autoSpaceDN w:val="0"/>
        <w:adjustRightInd w:val="0"/>
        <w:snapToGrid w:val="0"/>
        <w:spacing w:beforeLines="50" w:before="156" w:afterLines="50" w:after="156" w:line="520" w:lineRule="exact"/>
        <w:jc w:val="center"/>
        <w:rPr>
          <w:rFonts w:eastAsia="黑体"/>
          <w:sz w:val="24"/>
        </w:rPr>
      </w:pPr>
      <w:r w:rsidRPr="008E6122">
        <w:rPr>
          <w:rFonts w:eastAsia="黑体"/>
          <w:sz w:val="24"/>
        </w:rPr>
        <w:t xml:space="preserve">  </w:t>
      </w:r>
      <w:r w:rsidRPr="008E6122">
        <w:rPr>
          <w:rFonts w:eastAsia="黑体"/>
          <w:sz w:val="24"/>
        </w:rPr>
        <w:t>三氯异氰脲酸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9"/>
        <w:gridCol w:w="2661"/>
        <w:gridCol w:w="1424"/>
        <w:gridCol w:w="561"/>
        <w:gridCol w:w="190"/>
        <w:gridCol w:w="636"/>
        <w:gridCol w:w="90"/>
        <w:gridCol w:w="721"/>
        <w:gridCol w:w="154"/>
        <w:gridCol w:w="334"/>
        <w:gridCol w:w="361"/>
        <w:gridCol w:w="738"/>
        <w:gridCol w:w="96"/>
        <w:gridCol w:w="336"/>
        <w:gridCol w:w="567"/>
      </w:tblGrid>
      <w:tr w:rsidR="00BF17F2" w:rsidRPr="00BF17F2" w:rsidTr="00BF17F2">
        <w:trPr>
          <w:trHeight w:val="428"/>
        </w:trPr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标识、成份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化学品中文名称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三氯异氰脲酸</w:t>
            </w:r>
          </w:p>
        </w:tc>
      </w:tr>
      <w:tr w:rsidR="00BF17F2" w:rsidRPr="00BF17F2" w:rsidTr="00BF17F2">
        <w:trPr>
          <w:trHeight w:val="428"/>
        </w:trPr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化学品英文名称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Trichloroisocyanuric acid</w:t>
            </w:r>
          </w:p>
        </w:tc>
      </w:tr>
      <w:tr w:rsidR="00BF17F2" w:rsidRPr="00BF17F2" w:rsidTr="00BF17F2">
        <w:trPr>
          <w:trHeight w:val="428"/>
        </w:trPr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中文名称2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三氯(均)三嗪三酮</w:t>
            </w:r>
          </w:p>
        </w:tc>
      </w:tr>
      <w:tr w:rsidR="00BF17F2" w:rsidRPr="00BF17F2" w:rsidTr="00BF17F2">
        <w:trPr>
          <w:trHeight w:val="428"/>
        </w:trPr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英文名称2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Symclosene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含量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  <w:bCs/>
                <w:szCs w:val="21"/>
              </w:rPr>
              <w:t>90％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 xml:space="preserve">CAS No. 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87-90-1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分子式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C3Cl3N3O3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危险货物编号：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 xml:space="preserve">无资料 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分子量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232.41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UN编号：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理化特性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主要成分：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纯品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临界压力(MPa)：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无意义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外观与性状：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白色粉末，有氯的气味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辛醇/水分配系数的对数</w:t>
            </w:r>
            <w:bookmarkStart w:id="0" w:name="_GoBack"/>
            <w:bookmarkEnd w:id="0"/>
            <w:r w:rsidRPr="00BF17F2">
              <w:rPr>
                <w:rFonts w:ascii="宋体" w:eastAsia="宋体" w:hAnsi="宋体"/>
              </w:rPr>
              <w:t>值：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熔点(℃)：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225～230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闪点(℃)：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无意义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沸点(℃)：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引燃温度(℃)：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无意义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相对密度(水=1)：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&gt;1(20℃)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爆炸上限%(V/V)：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无意义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相对蒸气密度(空气=1)：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爆炸下限%(V/V)：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无意义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饱和蒸气压(kPa)：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溶解性：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溶于水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燃烧热(kJ/mol)：</w:t>
            </w:r>
          </w:p>
        </w:tc>
        <w:tc>
          <w:tcPr>
            <w:tcW w:w="1510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无意义</w:t>
            </w:r>
          </w:p>
        </w:tc>
        <w:tc>
          <w:tcPr>
            <w:tcW w:w="1251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临界温度(℃)：</w:t>
            </w:r>
          </w:p>
        </w:tc>
        <w:tc>
          <w:tcPr>
            <w:tcW w:w="470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无意义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主要用途：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用作强氧化剂、强氯化剂。</w:t>
            </w:r>
          </w:p>
        </w:tc>
      </w:tr>
      <w:tr w:rsidR="00BF17F2" w:rsidRPr="00BF17F2" w:rsidTr="00BF17F2">
        <w:trPr>
          <w:trHeight w:val="378"/>
        </w:trPr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危险性概述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健康危害：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助燃，本品粉末能强烈刺激眼睛、皮肤和呼吸系统。受热或遇水能产生含氯或其他毒气的浓厚烟雾。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环境危害：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rPr>
          <w:trHeight w:val="65"/>
        </w:trPr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燃爆危险：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rPr>
          <w:trHeight w:val="731"/>
        </w:trPr>
        <w:tc>
          <w:tcPr>
            <w:tcW w:w="384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稳定性和反应活性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禁配物：</w:t>
            </w:r>
          </w:p>
        </w:tc>
        <w:tc>
          <w:tcPr>
            <w:tcW w:w="1463" w:type="pct"/>
            <w:gridSpan w:val="4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强还原剂、强碱、水（潮湿空气）</w:t>
            </w:r>
          </w:p>
        </w:tc>
        <w:tc>
          <w:tcPr>
            <w:tcW w:w="1248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避免接触的条件：</w:t>
            </w:r>
          </w:p>
        </w:tc>
        <w:tc>
          <w:tcPr>
            <w:tcW w:w="520" w:type="pct"/>
            <w:gridSpan w:val="3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接触潮气可分解</w:t>
            </w:r>
          </w:p>
        </w:tc>
      </w:tr>
      <w:tr w:rsidR="00BF17F2" w:rsidRPr="00BF17F2" w:rsidTr="00BF17F2"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毒理学资料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急性毒性</w:t>
            </w:r>
          </w:p>
        </w:tc>
        <w:tc>
          <w:tcPr>
            <w:tcW w:w="741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LD</w:t>
            </w:r>
            <w:r w:rsidRPr="00BF17F2">
              <w:rPr>
                <w:rFonts w:ascii="宋体" w:eastAsia="宋体" w:hAnsi="宋体"/>
                <w:vertAlign w:val="subscript"/>
              </w:rPr>
              <w:t>50</w:t>
            </w:r>
          </w:p>
        </w:tc>
        <w:tc>
          <w:tcPr>
            <w:tcW w:w="1144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jc w:val="both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LD</w:t>
            </w:r>
            <w:r w:rsidRPr="00BF17F2">
              <w:rPr>
                <w:rFonts w:ascii="宋体" w:eastAsia="宋体" w:hAnsi="宋体"/>
                <w:vertAlign w:val="subscript"/>
              </w:rPr>
              <w:t>50</w:t>
            </w:r>
            <w:r w:rsidRPr="00BF17F2">
              <w:rPr>
                <w:rFonts w:ascii="宋体" w:eastAsia="宋体" w:hAnsi="宋体"/>
              </w:rPr>
              <w:t>：700~800mg/kg(大鼠经口)</w:t>
            </w:r>
          </w:p>
        </w:tc>
        <w:tc>
          <w:tcPr>
            <w:tcW w:w="442" w:type="pct"/>
            <w:gridSpan w:val="3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LC</w:t>
            </w:r>
            <w:r w:rsidRPr="00BF17F2">
              <w:rPr>
                <w:rFonts w:ascii="宋体" w:eastAsia="宋体" w:hAnsi="宋体"/>
                <w:vertAlign w:val="subscript"/>
              </w:rPr>
              <w:t>50</w:t>
            </w:r>
          </w:p>
        </w:tc>
        <w:tc>
          <w:tcPr>
            <w:tcW w:w="904" w:type="pct"/>
            <w:gridSpan w:val="4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LC</w:t>
            </w:r>
            <w:r w:rsidRPr="00BF17F2">
              <w:rPr>
                <w:rFonts w:ascii="宋体" w:eastAsia="宋体" w:hAnsi="宋体"/>
                <w:vertAlign w:val="subscript"/>
              </w:rPr>
              <w:t>50</w:t>
            </w:r>
            <w:r w:rsidRPr="00BF17F2">
              <w:rPr>
                <w:rFonts w:ascii="宋体" w:eastAsia="宋体" w:hAnsi="宋体"/>
              </w:rPr>
              <w:t>：无资料</w:t>
            </w:r>
          </w:p>
        </w:tc>
      </w:tr>
      <w:tr w:rsidR="00BF17F2" w:rsidRPr="00BF17F2" w:rsidTr="00BF17F2">
        <w:trPr>
          <w:trHeight w:val="278"/>
        </w:trPr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刺激性：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生态学资料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生态毒理毒性：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生物降解性：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非生物降解性：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生物富集或生物积累性：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其它有害作用：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工作现场禁止吸烟、进食和饮水。工作后，淋浴更衣。保持良好的卫生习惯。</w:t>
            </w:r>
          </w:p>
        </w:tc>
      </w:tr>
      <w:tr w:rsidR="00BF17F2" w:rsidRPr="00BF17F2" w:rsidTr="00BF17F2">
        <w:trPr>
          <w:trHeight w:val="428"/>
        </w:trPr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lastRenderedPageBreak/>
              <w:t>接触控制/个体防护</w:t>
            </w:r>
          </w:p>
        </w:tc>
        <w:tc>
          <w:tcPr>
            <w:tcW w:w="1385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职业接触限值</w:t>
            </w:r>
          </w:p>
        </w:tc>
        <w:tc>
          <w:tcPr>
            <w:tcW w:w="1132" w:type="pct"/>
            <w:gridSpan w:val="3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中国MAC(mg/m</w:t>
            </w:r>
            <w:r w:rsidRPr="00BF17F2">
              <w:rPr>
                <w:rFonts w:ascii="宋体" w:eastAsia="宋体" w:hAnsi="宋体"/>
                <w:vertAlign w:val="superscript"/>
              </w:rPr>
              <w:t>3</w:t>
            </w:r>
            <w:r w:rsidRPr="00BF17F2">
              <w:rPr>
                <w:rFonts w:ascii="宋体" w:eastAsia="宋体" w:hAnsi="宋体"/>
              </w:rPr>
              <w:t>) ：</w:t>
            </w:r>
          </w:p>
        </w:tc>
        <w:tc>
          <w:tcPr>
            <w:tcW w:w="833" w:type="pct"/>
            <w:gridSpan w:val="4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未制定标准</w:t>
            </w:r>
          </w:p>
        </w:tc>
        <w:tc>
          <w:tcPr>
            <w:tcW w:w="971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前苏联MAC(mg/m</w:t>
            </w:r>
            <w:r w:rsidRPr="00BF17F2">
              <w:rPr>
                <w:rFonts w:ascii="宋体" w:eastAsia="宋体" w:hAnsi="宋体"/>
                <w:vertAlign w:val="superscript"/>
              </w:rPr>
              <w:t>3</w:t>
            </w:r>
            <w:r w:rsidRPr="00BF17F2">
              <w:rPr>
                <w:rFonts w:ascii="宋体" w:eastAsia="宋体" w:hAnsi="宋体"/>
              </w:rPr>
              <w:t>)：</w:t>
            </w:r>
          </w:p>
        </w:tc>
        <w:tc>
          <w:tcPr>
            <w:tcW w:w="294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rPr>
          <w:trHeight w:val="428"/>
        </w:trPr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132" w:type="pct"/>
            <w:gridSpan w:val="3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TLVTN：</w:t>
            </w:r>
          </w:p>
        </w:tc>
        <w:tc>
          <w:tcPr>
            <w:tcW w:w="833" w:type="pct"/>
            <w:gridSpan w:val="4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  <w:tc>
          <w:tcPr>
            <w:tcW w:w="971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TLVWN：</w:t>
            </w:r>
          </w:p>
        </w:tc>
        <w:tc>
          <w:tcPr>
            <w:tcW w:w="294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未制定标准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监测方法：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工程控制：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生产过程密闭，加强通风。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呼吸系统防护：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作业工人应该佩戴防尘口罩。紧急事态抢救或逃生时，建议佩戴防毒面具。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眼睛防护：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可采用安全面罩。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身体防护：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穿相应的防护服。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手防护：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戴防护手套。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其他防护：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急 救 措 施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皮肤接触：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用肥皂水及清水彻底冲洗。就医。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眼睛接触：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拉开眼睑，用流动清水冲洗15分钟。就医。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吸入：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脱离现场至空气新鲜处。呼吸困难时给输氧。呼吸停止时，立即进行人工呼吸；就医。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食入：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误服者，口服牛奶、豆浆或蛋清，就医。</w:t>
            </w:r>
          </w:p>
        </w:tc>
      </w:tr>
      <w:tr w:rsidR="00BF17F2" w:rsidRPr="00BF17F2" w:rsidTr="00BF17F2"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消 防 措 施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危险特性：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强氧化剂。与易燃物、有机物接触易着火燃烧。遇氰尿酸+氢氧化钠生成易爆炸的产物。遇氨、铵盐、尿素等含氮化合物及水生成易爆炸的三氯化氮。受热或遇水分解放热，放出有毒的腐蚀性烟气。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有害燃烧产物：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一氧化碳、二氧化碳、氮氧化物、氯化氢。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灭火方法：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抗溶性泡沫、二氧化碳、干粉。</w:t>
            </w:r>
          </w:p>
        </w:tc>
      </w:tr>
      <w:tr w:rsidR="00BF17F2" w:rsidRPr="00BF17F2" w:rsidTr="00BF17F2">
        <w:tc>
          <w:tcPr>
            <w:tcW w:w="384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泄漏应急处理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应急处理：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隔离泄漏污染区，周围设警告标志，建议应急处理人员戴自给式呼吸器，穿化学防护服。禁止向泄漏物直接喷水，更不要让水进入包装容器内。用砂土、干燥石灰或苏打灰混合，收集于一个密闭的容器中，运至废物处理场所。用水刷洗泄漏污染区，对污染地带进行通风。如大量泄漏，收集回收或无害处理后废弃。</w:t>
            </w:r>
          </w:p>
        </w:tc>
      </w:tr>
      <w:tr w:rsidR="00BF17F2" w:rsidRPr="00BF17F2" w:rsidTr="00BF17F2"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操作处置与储存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操作注意事项：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储存注意事项：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储存于阴凉、干燥、通风良好的不燃库房。远离火种、热源。保持容器密封。远离易燃或可燃物。应与潮湿物品、铵盐、胺类、食用化工原料等分开存放。操作现场不得吸烟、饮水、进食。搬运时要轻装轻卸，防止包装及容器损坏。分装和搬运作业要注意个人防护。</w:t>
            </w:r>
          </w:p>
        </w:tc>
      </w:tr>
      <w:tr w:rsidR="00BF17F2" w:rsidRPr="00BF17F2" w:rsidTr="00BF17F2">
        <w:trPr>
          <w:trHeight w:val="392"/>
        </w:trPr>
        <w:tc>
          <w:tcPr>
            <w:tcW w:w="384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 xml:space="preserve">废 </w:t>
            </w:r>
            <w:r w:rsidRPr="00BF17F2">
              <w:rPr>
                <w:rFonts w:ascii="宋体" w:eastAsia="宋体" w:hAnsi="宋体"/>
              </w:rPr>
              <w:lastRenderedPageBreak/>
              <w:t>弃 处 置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lastRenderedPageBreak/>
              <w:t>废弃处置方法：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jc w:val="left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处置前应参阅国家和地方有关法规。建议用焚烧法处置</w:t>
            </w:r>
          </w:p>
        </w:tc>
      </w:tr>
      <w:tr w:rsidR="00BF17F2" w:rsidRPr="00BF17F2" w:rsidTr="00BF17F2">
        <w:tc>
          <w:tcPr>
            <w:tcW w:w="384" w:type="pct"/>
            <w:vMerge w:val="restar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运 输 信 息</w:t>
            </w: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危险货物编号：</w:t>
            </w:r>
          </w:p>
        </w:tc>
        <w:tc>
          <w:tcPr>
            <w:tcW w:w="1033" w:type="pct"/>
            <w:gridSpan w:val="2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51078</w:t>
            </w:r>
          </w:p>
        </w:tc>
        <w:tc>
          <w:tcPr>
            <w:tcW w:w="1106" w:type="pct"/>
            <w:gridSpan w:val="6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包装类别：</w:t>
            </w:r>
          </w:p>
        </w:tc>
        <w:tc>
          <w:tcPr>
            <w:tcW w:w="1092" w:type="pct"/>
            <w:gridSpan w:val="5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Ⅱ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UN编号：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2468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包装方法：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无资料。</w:t>
            </w:r>
          </w:p>
        </w:tc>
      </w:tr>
      <w:tr w:rsidR="00BF17F2" w:rsidRPr="00BF17F2" w:rsidTr="00BF17F2">
        <w:tc>
          <w:tcPr>
            <w:tcW w:w="384" w:type="pct"/>
            <w:vMerge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</w:p>
        </w:tc>
        <w:tc>
          <w:tcPr>
            <w:tcW w:w="1385" w:type="pct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运输注意事项：</w:t>
            </w:r>
          </w:p>
        </w:tc>
        <w:tc>
          <w:tcPr>
            <w:tcW w:w="3231" w:type="pct"/>
            <w:gridSpan w:val="13"/>
            <w:vAlign w:val="center"/>
          </w:tcPr>
          <w:p w:rsidR="00BF17F2" w:rsidRPr="00BF17F2" w:rsidRDefault="00BF17F2" w:rsidP="00BF17F2">
            <w:pPr>
              <w:pStyle w:val="a7"/>
              <w:rPr>
                <w:rFonts w:ascii="宋体" w:eastAsia="宋体" w:hAnsi="宋体"/>
              </w:rPr>
            </w:pPr>
            <w:r w:rsidRPr="00BF17F2">
              <w:rPr>
                <w:rFonts w:ascii="宋体" w:eastAsia="宋体" w:hAnsi="宋体"/>
              </w:rPr>
              <w:t>无资料</w:t>
            </w:r>
          </w:p>
        </w:tc>
      </w:tr>
    </w:tbl>
    <w:p w:rsidR="00096E45" w:rsidRPr="00BF17F2" w:rsidRDefault="00096E45" w:rsidP="00BF17F2">
      <w:pPr>
        <w:rPr>
          <w:rFonts w:ascii="宋体" w:hAnsi="宋体"/>
        </w:rPr>
      </w:pPr>
    </w:p>
    <w:sectPr w:rsidR="00096E45" w:rsidRPr="00BF17F2" w:rsidSect="00BF17F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AD" w:rsidRDefault="009061AD" w:rsidP="00BF17F2">
      <w:r>
        <w:separator/>
      </w:r>
    </w:p>
  </w:endnote>
  <w:endnote w:type="continuationSeparator" w:id="0">
    <w:p w:rsidR="009061AD" w:rsidRDefault="009061AD" w:rsidP="00B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AD" w:rsidRDefault="009061AD" w:rsidP="00BF17F2">
      <w:r>
        <w:separator/>
      </w:r>
    </w:p>
  </w:footnote>
  <w:footnote w:type="continuationSeparator" w:id="0">
    <w:p w:rsidR="009061AD" w:rsidRDefault="009061AD" w:rsidP="00BF1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A6"/>
    <w:rsid w:val="00096E45"/>
    <w:rsid w:val="00122EA6"/>
    <w:rsid w:val="009061AD"/>
    <w:rsid w:val="00B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3A4CD"/>
  <w15:chartTrackingRefBased/>
  <w15:docId w15:val="{69045002-3C71-45F3-9496-E463430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7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7F2"/>
    <w:rPr>
      <w:sz w:val="18"/>
      <w:szCs w:val="18"/>
    </w:rPr>
  </w:style>
  <w:style w:type="paragraph" w:customStyle="1" w:styleId="8">
    <w:name w:val="8"/>
    <w:basedOn w:val="a"/>
    <w:qFormat/>
    <w:rsid w:val="00BF17F2"/>
    <w:pPr>
      <w:adjustRightInd w:val="0"/>
      <w:spacing w:line="360" w:lineRule="auto"/>
    </w:pPr>
  </w:style>
  <w:style w:type="character" w:customStyle="1" w:styleId="Char">
    <w:name w:val="表格字体 Char"/>
    <w:link w:val="a7"/>
    <w:qFormat/>
    <w:rsid w:val="00BF17F2"/>
  </w:style>
  <w:style w:type="paragraph" w:customStyle="1" w:styleId="a7">
    <w:name w:val="表格字体"/>
    <w:basedOn w:val="a"/>
    <w:next w:val="a"/>
    <w:link w:val="Char"/>
    <w:qFormat/>
    <w:rsid w:val="00BF17F2"/>
    <w:pPr>
      <w:adjustRightInd w:val="0"/>
      <w:snapToGrid w:val="0"/>
      <w:spacing w:line="360" w:lineRule="exact"/>
      <w:jc w:val="center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Ti</dc:creator>
  <cp:keywords/>
  <dc:description/>
  <cp:lastModifiedBy>W Ti</cp:lastModifiedBy>
  <cp:revision>2</cp:revision>
  <dcterms:created xsi:type="dcterms:W3CDTF">2025-07-18T01:58:00Z</dcterms:created>
  <dcterms:modified xsi:type="dcterms:W3CDTF">2025-07-18T01:59:00Z</dcterms:modified>
</cp:coreProperties>
</file>