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26" w:rsidRPr="00367FE9" w:rsidRDefault="00537926" w:rsidP="00537926">
      <w:pPr>
        <w:pStyle w:val="a9"/>
        <w:rPr>
          <w:rFonts w:eastAsia="宋体"/>
        </w:rPr>
      </w:pPr>
      <w:bookmarkStart w:id="0" w:name="_GoBack"/>
      <w:bookmarkEnd w:id="0"/>
      <w:r w:rsidRPr="00367FE9">
        <w:rPr>
          <w:rFonts w:eastAsia="宋体"/>
        </w:rPr>
        <w:t>汽油（含乙醇汽油）理化性质及危险特性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8418"/>
      </w:tblGrid>
      <w:tr w:rsidR="00537926" w:rsidRPr="00367FE9" w:rsidTr="00785EE6">
        <w:trPr>
          <w:cantSplit/>
          <w:trHeight w:val="563"/>
          <w:jc w:val="center"/>
        </w:trPr>
        <w:tc>
          <w:tcPr>
            <w:tcW w:w="1133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特别警示</w:t>
            </w:r>
          </w:p>
        </w:tc>
        <w:tc>
          <w:tcPr>
            <w:tcW w:w="8418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高度易燃液体；不得使用直流水扑救（用水灭火无效）。</w:t>
            </w:r>
          </w:p>
        </w:tc>
      </w:tr>
      <w:tr w:rsidR="00537926" w:rsidRPr="00367FE9" w:rsidTr="00785EE6">
        <w:trPr>
          <w:cantSplit/>
          <w:trHeight w:val="2634"/>
          <w:jc w:val="center"/>
        </w:trPr>
        <w:tc>
          <w:tcPr>
            <w:tcW w:w="1133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理化特性</w:t>
            </w:r>
          </w:p>
        </w:tc>
        <w:tc>
          <w:tcPr>
            <w:tcW w:w="8418" w:type="dxa"/>
            <w:vAlign w:val="center"/>
          </w:tcPr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无色到浅黄色的透明液体。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依据《车用汽油》（</w:t>
            </w:r>
            <w:r w:rsidRPr="00367FE9">
              <w:t>GB 17930-2016</w:t>
            </w:r>
            <w:r w:rsidRPr="00367FE9">
              <w:t>）生产的车用汽油，按研究法辛烷值（</w:t>
            </w:r>
            <w:r w:rsidRPr="00367FE9">
              <w:t>RON</w:t>
            </w:r>
            <w:r w:rsidRPr="00367FE9">
              <w:t>）分为</w:t>
            </w:r>
            <w:r w:rsidRPr="00367FE9">
              <w:t>89</w:t>
            </w:r>
            <w:r w:rsidRPr="00367FE9">
              <w:t>号、</w:t>
            </w:r>
            <w:r w:rsidRPr="00367FE9">
              <w:t>92</w:t>
            </w:r>
            <w:r w:rsidRPr="00367FE9">
              <w:t>号、</w:t>
            </w:r>
            <w:r w:rsidRPr="00367FE9">
              <w:t>95</w:t>
            </w:r>
            <w:r w:rsidRPr="00367FE9">
              <w:t>号和</w:t>
            </w:r>
            <w:r w:rsidRPr="00367FE9">
              <w:t>98</w:t>
            </w:r>
            <w:r w:rsidRPr="00367FE9">
              <w:t>号四个牌号，相对密度（水</w:t>
            </w:r>
            <w:r w:rsidRPr="00367FE9">
              <w:t>=1</w:t>
            </w:r>
            <w:r w:rsidRPr="00367FE9">
              <w:t>）</w:t>
            </w:r>
            <w:r w:rsidRPr="00367FE9">
              <w:t>0.70</w:t>
            </w:r>
            <w:r w:rsidRPr="00367FE9">
              <w:t>～</w:t>
            </w:r>
            <w:r w:rsidRPr="00367FE9">
              <w:t>0.80</w:t>
            </w:r>
            <w:r w:rsidRPr="00367FE9">
              <w:t>，相对蒸气密度（空气</w:t>
            </w:r>
            <w:r w:rsidRPr="00367FE9">
              <w:t>=1</w:t>
            </w:r>
            <w:r w:rsidRPr="00367FE9">
              <w:t>）</w:t>
            </w:r>
            <w:r w:rsidRPr="00367FE9">
              <w:t>3</w:t>
            </w:r>
            <w:r w:rsidRPr="00367FE9">
              <w:t>～</w:t>
            </w:r>
            <w:r w:rsidRPr="00367FE9">
              <w:t>4</w:t>
            </w:r>
            <w:r w:rsidRPr="00367FE9">
              <w:t>，闪点</w:t>
            </w:r>
            <w:r w:rsidRPr="00367FE9">
              <w:t>-46℃</w:t>
            </w:r>
            <w:r w:rsidRPr="00367FE9">
              <w:t>，爆炸极限</w:t>
            </w:r>
            <w:r w:rsidRPr="00367FE9">
              <w:t>1.4</w:t>
            </w:r>
            <w:r w:rsidRPr="00367FE9">
              <w:t>～</w:t>
            </w:r>
            <w:r w:rsidRPr="00367FE9">
              <w:t>7.6%</w:t>
            </w:r>
            <w:r w:rsidRPr="00367FE9">
              <w:t>（体积比），自燃温度</w:t>
            </w:r>
            <w:r w:rsidRPr="00367FE9">
              <w:t>415</w:t>
            </w:r>
            <w:r w:rsidRPr="00367FE9">
              <w:t>～</w:t>
            </w:r>
            <w:r w:rsidRPr="00367FE9">
              <w:t>530℃</w:t>
            </w:r>
            <w:r w:rsidRPr="00367FE9">
              <w:t>，最大爆炸压力</w:t>
            </w:r>
            <w:r w:rsidRPr="00367FE9">
              <w:t>0.813MPa</w:t>
            </w:r>
            <w:r w:rsidRPr="00367FE9">
              <w:t>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主要用途：汽油主要用作汽油机的燃料，可用于橡胶、制鞋、印刷、制革、颜料等行业，也可用作机械零件的去污剂。</w:t>
            </w:r>
          </w:p>
        </w:tc>
      </w:tr>
      <w:tr w:rsidR="00537926" w:rsidRPr="00367FE9" w:rsidTr="00785EE6">
        <w:trPr>
          <w:cantSplit/>
          <w:trHeight w:val="1256"/>
          <w:jc w:val="center"/>
        </w:trPr>
        <w:tc>
          <w:tcPr>
            <w:tcW w:w="1133" w:type="dxa"/>
            <w:vMerge w:val="restart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危害信息</w:t>
            </w:r>
          </w:p>
        </w:tc>
        <w:tc>
          <w:tcPr>
            <w:tcW w:w="8418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【燃烧和爆炸危险性】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高度易燃，蒸气与空气能形成爆炸性混合物，遇明火、高热能引起燃烧爆炸。高速冲击、流动、激荡后可因产生静电火花放电引起燃烧爆炸。蒸气比空气重，能在较低处扩散到相当远的地方，遇火源会着火回燃和爆炸。</w:t>
            </w:r>
          </w:p>
        </w:tc>
      </w:tr>
      <w:tr w:rsidR="00537926" w:rsidRPr="00367FE9" w:rsidTr="00785EE6">
        <w:trPr>
          <w:cantSplit/>
          <w:trHeight w:val="1210"/>
          <w:jc w:val="center"/>
        </w:trPr>
        <w:tc>
          <w:tcPr>
            <w:tcW w:w="1133" w:type="dxa"/>
            <w:vMerge/>
            <w:vAlign w:val="center"/>
          </w:tcPr>
          <w:p w:rsidR="00537926" w:rsidRPr="00367FE9" w:rsidRDefault="00537926" w:rsidP="00785EE6">
            <w:pPr>
              <w:pStyle w:val="a8"/>
            </w:pPr>
          </w:p>
        </w:tc>
        <w:tc>
          <w:tcPr>
            <w:tcW w:w="8418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【健康危害】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汽油为麻醉性毒物，高浓度吸入出现中毒性脑病，极高浓度吸入引起意识突然丧失、反射性呼吸停止。误将汽油吸入呼吸道可引起吸入性肺炎。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职业接触限值：</w:t>
            </w:r>
            <w:r w:rsidRPr="00367FE9">
              <w:t>PC-TWA</w:t>
            </w:r>
            <w:r w:rsidRPr="00367FE9">
              <w:t>（时间加权平均容许浓度）（</w:t>
            </w:r>
            <w:r w:rsidRPr="00367FE9">
              <w:t>mg/m³</w:t>
            </w:r>
            <w:r w:rsidRPr="00367FE9">
              <w:t>）：</w:t>
            </w:r>
            <w:r w:rsidRPr="00367FE9">
              <w:t>300</w:t>
            </w:r>
            <w:r w:rsidRPr="00367FE9">
              <w:t>（汽油）。</w:t>
            </w:r>
          </w:p>
        </w:tc>
      </w:tr>
      <w:tr w:rsidR="00537926" w:rsidRPr="00367FE9" w:rsidTr="00785EE6">
        <w:trPr>
          <w:cantSplit/>
          <w:trHeight w:val="2806"/>
          <w:jc w:val="center"/>
        </w:trPr>
        <w:tc>
          <w:tcPr>
            <w:tcW w:w="1133" w:type="dxa"/>
            <w:vMerge w:val="restart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安全措施</w:t>
            </w:r>
          </w:p>
        </w:tc>
        <w:tc>
          <w:tcPr>
            <w:tcW w:w="8418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【一般要求】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操作人员必须经过专门培训，严格遵守操作规程，熟练掌握操作技能，具备应急处置知识。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密闭操作，防止泄漏，工作场所全面通风。远离火种、热源，工作场所严禁吸烟。配备易燃气体泄漏监测报警仪，使用防爆型通风系统和设备，配备两套以上重型防护服。操作人员穿防静电工作服，戴耐油橡胶手套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储罐等容器和设备应设置液位计、温度计，并应装有带液位、温度远传记录和报警功能的安全装置。避免与氧化剂接触。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生产、储存区域应设置安全警示标志。灌装时应控制流速，且有接地装置，防止静电积聚。搬运时要轻装轻卸，防止包装及容器损坏。配备相应品种和数量的消防器材及泄漏应急处理设备。</w:t>
            </w:r>
          </w:p>
        </w:tc>
      </w:tr>
      <w:tr w:rsidR="00537926" w:rsidRPr="00367FE9" w:rsidTr="00785EE6">
        <w:trPr>
          <w:cantSplit/>
          <w:trHeight w:val="3086"/>
          <w:jc w:val="center"/>
        </w:trPr>
        <w:tc>
          <w:tcPr>
            <w:tcW w:w="1133" w:type="dxa"/>
            <w:vMerge/>
            <w:vAlign w:val="center"/>
          </w:tcPr>
          <w:p w:rsidR="00537926" w:rsidRPr="00367FE9" w:rsidRDefault="00537926" w:rsidP="00785EE6">
            <w:pPr>
              <w:pStyle w:val="a8"/>
            </w:pPr>
          </w:p>
        </w:tc>
        <w:tc>
          <w:tcPr>
            <w:tcW w:w="8418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【特殊要求】【操作安全】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1</w:t>
            </w:r>
            <w:r w:rsidRPr="00367FE9">
              <w:t>）油罐及贮存桶装汽油附近要严禁烟火。禁止将汽油与其他易燃物放在一起。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2</w:t>
            </w:r>
            <w:r w:rsidRPr="00367FE9">
              <w:t>）往油罐或油罐汽车装油时，输油管要插入油面以下或接近罐的底部，以减少油料的冲击和与空气的摩擦。沾油料的布、油棉纱头、油手套等不要放在油库、车库内，以免自燃。不要用铁器工具敲击汽油桶，特别是空汽油桶更危险。因为桶内充满汽油与空气的混合气，而且经常处于爆炸极限之内，一遇明火，就能引起爆炸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3</w:t>
            </w:r>
            <w:r w:rsidRPr="00367FE9">
              <w:t>）当进行灌装汽油时，邻近的汽车、拖拉机的排气管要戴上防火帽后才能发动，存汽油地点附近严禁检修车辆。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4</w:t>
            </w:r>
            <w:r w:rsidRPr="00367FE9">
              <w:t>）汽油油罐和贮存汽油区的上空，不应有电线通过。油罐、库房与电线的距离要为电杆长度的</w:t>
            </w:r>
            <w:r w:rsidRPr="00367FE9">
              <w:t>1.5</w:t>
            </w:r>
            <w:r w:rsidRPr="00367FE9">
              <w:t>倍以上。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5</w:t>
            </w:r>
            <w:r w:rsidRPr="00367FE9">
              <w:t>）注意仓库及操作场所的通风，使油蒸气容易逸散。</w:t>
            </w:r>
          </w:p>
        </w:tc>
      </w:tr>
      <w:tr w:rsidR="00537926" w:rsidRPr="00367FE9" w:rsidTr="00785EE6">
        <w:trPr>
          <w:cantSplit/>
          <w:trHeight w:val="2547"/>
          <w:jc w:val="center"/>
        </w:trPr>
        <w:tc>
          <w:tcPr>
            <w:tcW w:w="1133" w:type="dxa"/>
            <w:vMerge w:val="restart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lastRenderedPageBreak/>
              <w:t>安全措施</w:t>
            </w:r>
          </w:p>
        </w:tc>
        <w:tc>
          <w:tcPr>
            <w:tcW w:w="8418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【储存安全】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1</w:t>
            </w:r>
            <w:r w:rsidRPr="00367FE9">
              <w:t>）储存于阴凉、通风的库房。远离火种、热源。库房温度不宜超过</w:t>
            </w:r>
            <w:r w:rsidRPr="00367FE9">
              <w:t>30℃</w:t>
            </w:r>
            <w:r w:rsidRPr="00367FE9">
              <w:t>。炎热季节应采取喷淋、通风等降温措施。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2</w:t>
            </w:r>
            <w:r w:rsidRPr="00367FE9">
              <w:t>）应与氧化剂分开存放，切忌混储。用储罐、铁桶等容器盛装，不要用塑料桶来存放汽油。盛装时，切不可充满，要留出必要的安全空间。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3</w:t>
            </w:r>
            <w:r w:rsidRPr="00367FE9">
              <w:t>）采用防爆型照明、通风设施。禁止使用易产生火花的机械设备和工具。储存区应备有泄漏应急处理设备和合适的收容材料。罐储时要有防火防爆技术措施。对于</w:t>
            </w:r>
            <w:r w:rsidRPr="00367FE9">
              <w:t>1000m³</w:t>
            </w:r>
            <w:r w:rsidRPr="00367FE9">
              <w:t>及以上的储罐顶部应有泡沫灭火设施等。</w:t>
            </w:r>
          </w:p>
        </w:tc>
      </w:tr>
      <w:tr w:rsidR="00537926" w:rsidRPr="00367FE9" w:rsidTr="00785EE6">
        <w:trPr>
          <w:cantSplit/>
          <w:trHeight w:val="5199"/>
          <w:jc w:val="center"/>
        </w:trPr>
        <w:tc>
          <w:tcPr>
            <w:tcW w:w="1133" w:type="dxa"/>
            <w:vMerge/>
            <w:vAlign w:val="center"/>
          </w:tcPr>
          <w:p w:rsidR="00537926" w:rsidRPr="00367FE9" w:rsidRDefault="00537926" w:rsidP="00785EE6">
            <w:pPr>
              <w:pStyle w:val="a8"/>
            </w:pPr>
          </w:p>
        </w:tc>
        <w:tc>
          <w:tcPr>
            <w:tcW w:w="8418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【运输安全】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1</w:t>
            </w:r>
            <w:r w:rsidRPr="00367FE9">
              <w:t>）运输车辆应有危险货物运输标志、安装具有行驶记录功能的卫星定位装置。未经公安机关批准，运输车辆不得进入危险化学品运输车辆限制通行。容器运输时，容器须用盖密封。运送汽油的油罐汽车，必须有导静电拖线。对有每分钟</w:t>
            </w:r>
            <w:r w:rsidRPr="00367FE9">
              <w:t>0.5m³</w:t>
            </w:r>
            <w:r w:rsidRPr="00367FE9">
              <w:t>以上的快速装卸油设备的油罐汽车，在装卸油时，除了保证铁链接地外，更要将车上油罐的接地线插入地下并不得浅于</w:t>
            </w:r>
            <w:r w:rsidRPr="00367FE9">
              <w:t>100mm</w:t>
            </w:r>
            <w:r w:rsidRPr="00367FE9">
              <w:t>。运输时运输车辆应配备相应品种和数量的消防器材。装运该物品的车辆排气管必须配备阻火装置，禁止使用易产生火花的机械设备和工具装卸。汽车槽罐内可设孔隔板以减少震荡产生静电。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3</w:t>
            </w:r>
            <w:r w:rsidRPr="00367FE9">
              <w:t>）严禁与氧化剂等混装混运。夏季最好早晚运输，运输途中应防曝晒、防雨淋、防高温。中途停留时应远离火种、热源、高温区及人口密集地段。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4</w:t>
            </w:r>
            <w:r w:rsidRPr="00367FE9">
              <w:t>）输送汽油的管道不应靠近热源敷设；管道采用地上敷设时，应在人员活动较多和易遭车辆、外来物撞击的地段，采取保护措施并设置明显的警示标志；汽油管道架空敷设时，管道应敷设在非燃烧体的支架或栈桥上。在已敷设的汽油管道下面，不得修建与汽油管道无关的建筑物和堆放易燃物品；汽油管道外壁颜色、标志应执行《工业管道的基本识别色、识别符号和安全标识》（</w:t>
            </w:r>
            <w:r w:rsidRPr="00367FE9">
              <w:t>GB 7231</w:t>
            </w:r>
            <w:r w:rsidRPr="00367FE9">
              <w:t>）的规定。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（</w:t>
            </w:r>
            <w:r w:rsidRPr="00367FE9">
              <w:t>5</w:t>
            </w:r>
            <w:r w:rsidRPr="00367FE9">
              <w:t>）输油管道地下铺设时，沿线应设置里程桩、转角桩、标志桩和测试桩，并设警示标志。运行应符合有关法律法规规定。</w:t>
            </w:r>
          </w:p>
        </w:tc>
      </w:tr>
      <w:tr w:rsidR="00537926" w:rsidRPr="00367FE9" w:rsidTr="00785EE6">
        <w:trPr>
          <w:cantSplit/>
          <w:trHeight w:val="1903"/>
          <w:jc w:val="center"/>
        </w:trPr>
        <w:tc>
          <w:tcPr>
            <w:tcW w:w="1133" w:type="dxa"/>
            <w:vMerge w:val="restart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应急处置原则</w:t>
            </w:r>
          </w:p>
        </w:tc>
        <w:tc>
          <w:tcPr>
            <w:tcW w:w="8418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【急救措施】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吸入：迅速脱离现场至空气新鲜处，保持呼吸道通畅。如呼吸困难，给氧。如呼吸停止，立即进行人工呼吸就医。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食入：给饮牛奶或用植物油洗胃和灌肠，就医。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皮肤接触：立即脱去污染的衣着，用肥皂水和清水彻底冲洗皮肤，就医。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眼睛接触：立即提起眼睑，用大量流动清水或生理盐水彻底冲洗至少</w:t>
            </w:r>
            <w:r w:rsidRPr="00367FE9">
              <w:t>15</w:t>
            </w:r>
            <w:r w:rsidRPr="00367FE9">
              <w:t>分钟，就医。</w:t>
            </w:r>
          </w:p>
        </w:tc>
      </w:tr>
      <w:tr w:rsidR="00537926" w:rsidRPr="00367FE9" w:rsidTr="00785EE6">
        <w:trPr>
          <w:cantSplit/>
          <w:trHeight w:val="1047"/>
          <w:jc w:val="center"/>
        </w:trPr>
        <w:tc>
          <w:tcPr>
            <w:tcW w:w="1133" w:type="dxa"/>
            <w:vMerge/>
            <w:vAlign w:val="center"/>
          </w:tcPr>
          <w:p w:rsidR="00537926" w:rsidRPr="00367FE9" w:rsidRDefault="00537926" w:rsidP="00785EE6">
            <w:pPr>
              <w:pStyle w:val="a8"/>
            </w:pPr>
          </w:p>
        </w:tc>
        <w:tc>
          <w:tcPr>
            <w:tcW w:w="8418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【灭火方法】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喷水冷却容器，尽可能将容器从火场移至空旷处。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灭火剂：泡沫、干粉、二氧化碳。用水灭火无效。</w:t>
            </w:r>
          </w:p>
        </w:tc>
      </w:tr>
      <w:tr w:rsidR="00537926" w:rsidRPr="00367FE9" w:rsidTr="00785EE6">
        <w:trPr>
          <w:cantSplit/>
          <w:trHeight w:val="3137"/>
          <w:jc w:val="center"/>
        </w:trPr>
        <w:tc>
          <w:tcPr>
            <w:tcW w:w="1133" w:type="dxa"/>
            <w:vMerge/>
            <w:vAlign w:val="center"/>
          </w:tcPr>
          <w:p w:rsidR="00537926" w:rsidRPr="00367FE9" w:rsidRDefault="00537926" w:rsidP="00785EE6">
            <w:pPr>
              <w:pStyle w:val="a8"/>
            </w:pPr>
          </w:p>
        </w:tc>
        <w:tc>
          <w:tcPr>
            <w:tcW w:w="8418" w:type="dxa"/>
            <w:vAlign w:val="center"/>
          </w:tcPr>
          <w:p w:rsidR="00537926" w:rsidRPr="00367FE9" w:rsidRDefault="00537926" w:rsidP="00785EE6">
            <w:pPr>
              <w:pStyle w:val="a8"/>
            </w:pPr>
            <w:r w:rsidRPr="00367FE9">
              <w:t>【泄漏应急处置】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消除所有点火源。根据液体流动和蒸气扩散的影响区域划定警戒区，无关人员从侧风、上风向撤离至安全区。建议应急处理人员戴正压自给式空气呼吸器，穿防毒、防静电服。作业时使用的所有设备应接地。禁止接触或跨越泄漏物。尽可能切断泄漏源。防止泄漏物进入水体、下水道、地下室或密闭性空间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小量泄漏：用砂土或其它不燃材料吸收。使用洁净的无火花工具收集吸收材料。大量泄漏：构筑围堤或挖坑收容。用泡沫覆盖，减少蒸发。喷水雾能减少蒸发，但不能降低泄漏物在受限制空间内的易燃性。用防爆泵转移至槽车或专用收集器内。</w:t>
            </w:r>
          </w:p>
          <w:p w:rsidR="00537926" w:rsidRPr="00367FE9" w:rsidRDefault="00537926" w:rsidP="00785EE6">
            <w:pPr>
              <w:pStyle w:val="a8"/>
              <w:ind w:firstLineChars="200" w:firstLine="420"/>
              <w:jc w:val="left"/>
            </w:pPr>
            <w:r w:rsidRPr="00367FE9">
              <w:t>作为一项紧急预防措施，泄漏隔离距离至少为</w:t>
            </w:r>
            <w:r w:rsidRPr="00367FE9">
              <w:t>50m</w:t>
            </w:r>
            <w:r w:rsidRPr="00367FE9">
              <w:t>。如果为大量泄漏，下风向的初始疏散距离应至少为</w:t>
            </w:r>
            <w:r w:rsidRPr="00367FE9">
              <w:t>300m</w:t>
            </w:r>
            <w:r w:rsidRPr="00367FE9">
              <w:t>。</w:t>
            </w:r>
          </w:p>
        </w:tc>
      </w:tr>
    </w:tbl>
    <w:p w:rsidR="00096E45" w:rsidRDefault="00096E45">
      <w:pPr>
        <w:ind w:firstLine="560"/>
      </w:pPr>
    </w:p>
    <w:sectPr w:rsidR="0009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EB" w:rsidRDefault="00146BEB" w:rsidP="00537926">
      <w:pPr>
        <w:spacing w:line="240" w:lineRule="auto"/>
        <w:ind w:firstLine="560"/>
      </w:pPr>
      <w:r>
        <w:separator/>
      </w:r>
    </w:p>
  </w:endnote>
  <w:endnote w:type="continuationSeparator" w:id="0">
    <w:p w:rsidR="00146BEB" w:rsidRDefault="00146BEB" w:rsidP="00537926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EB" w:rsidRDefault="00146BEB" w:rsidP="00537926">
      <w:pPr>
        <w:spacing w:line="240" w:lineRule="auto"/>
        <w:ind w:firstLine="560"/>
      </w:pPr>
      <w:r>
        <w:separator/>
      </w:r>
    </w:p>
  </w:footnote>
  <w:footnote w:type="continuationSeparator" w:id="0">
    <w:p w:rsidR="00146BEB" w:rsidRDefault="00146BEB" w:rsidP="00537926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56"/>
    <w:rsid w:val="00096E45"/>
    <w:rsid w:val="00146BEB"/>
    <w:rsid w:val="00537926"/>
    <w:rsid w:val="00D7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03101"/>
  <w15:chartTrackingRefBased/>
  <w15:docId w15:val="{48B0F20A-352B-4CEC-8E5A-DCF1E232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37926"/>
    <w:pPr>
      <w:widowControl w:val="0"/>
      <w:spacing w:line="520" w:lineRule="exact"/>
      <w:ind w:firstLineChars="200" w:firstLine="64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3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379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792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37926"/>
    <w:rPr>
      <w:sz w:val="18"/>
      <w:szCs w:val="18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537926"/>
    <w:pPr>
      <w:spacing w:line="240" w:lineRule="auto"/>
      <w:ind w:firstLineChars="0" w:firstLine="0"/>
    </w:pPr>
    <w:rPr>
      <w:sz w:val="21"/>
    </w:rPr>
  </w:style>
  <w:style w:type="paragraph" w:customStyle="1" w:styleId="a8">
    <w:name w:val="表内容"/>
    <w:basedOn w:val="a"/>
    <w:qFormat/>
    <w:rsid w:val="00537926"/>
    <w:pPr>
      <w:spacing w:line="320" w:lineRule="exact"/>
      <w:ind w:firstLineChars="0" w:firstLine="0"/>
      <w:jc w:val="center"/>
    </w:pPr>
    <w:rPr>
      <w:sz w:val="21"/>
    </w:rPr>
  </w:style>
  <w:style w:type="paragraph" w:customStyle="1" w:styleId="a9">
    <w:name w:val="表头"/>
    <w:basedOn w:val="a"/>
    <w:next w:val="aa"/>
    <w:link w:val="Char"/>
    <w:qFormat/>
    <w:rsid w:val="00537926"/>
    <w:pPr>
      <w:spacing w:before="200" w:line="320" w:lineRule="exact"/>
      <w:ind w:firstLineChars="0" w:firstLine="0"/>
      <w:jc w:val="center"/>
    </w:pPr>
    <w:rPr>
      <w:rFonts w:eastAsia="黑体"/>
      <w:sz w:val="24"/>
    </w:rPr>
  </w:style>
  <w:style w:type="character" w:customStyle="1" w:styleId="Char">
    <w:name w:val="表头 Char"/>
    <w:link w:val="a9"/>
    <w:qFormat/>
    <w:rsid w:val="00537926"/>
    <w:rPr>
      <w:rFonts w:ascii="Times New Roman" w:eastAsia="黑体" w:hAnsi="Times New Roman" w:cs="Times New Roman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537926"/>
    <w:pPr>
      <w:ind w:firstLine="420"/>
    </w:pPr>
  </w:style>
  <w:style w:type="paragraph" w:styleId="ab">
    <w:name w:val="Body Text"/>
    <w:basedOn w:val="a"/>
    <w:link w:val="ac"/>
    <w:uiPriority w:val="99"/>
    <w:semiHidden/>
    <w:unhideWhenUsed/>
    <w:rsid w:val="00537926"/>
    <w:pPr>
      <w:spacing w:after="120"/>
    </w:pPr>
  </w:style>
  <w:style w:type="character" w:customStyle="1" w:styleId="ac">
    <w:name w:val="正文文本 字符"/>
    <w:basedOn w:val="a1"/>
    <w:link w:val="ab"/>
    <w:uiPriority w:val="99"/>
    <w:semiHidden/>
    <w:rsid w:val="00537926"/>
    <w:rPr>
      <w:rFonts w:ascii="Times New Roman" w:eastAsia="宋体" w:hAnsi="Times New Roman" w:cs="Times New Roman"/>
      <w:sz w:val="28"/>
      <w:szCs w:val="24"/>
    </w:rPr>
  </w:style>
  <w:style w:type="paragraph" w:styleId="aa">
    <w:name w:val="Body Text First Indent"/>
    <w:basedOn w:val="ab"/>
    <w:link w:val="ad"/>
    <w:uiPriority w:val="99"/>
    <w:semiHidden/>
    <w:unhideWhenUsed/>
    <w:rsid w:val="00537926"/>
    <w:pPr>
      <w:ind w:firstLineChars="100" w:firstLine="420"/>
    </w:pPr>
  </w:style>
  <w:style w:type="character" w:customStyle="1" w:styleId="ad">
    <w:name w:val="正文首行缩进 字符"/>
    <w:basedOn w:val="ac"/>
    <w:link w:val="aa"/>
    <w:uiPriority w:val="99"/>
    <w:semiHidden/>
    <w:rsid w:val="00537926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Ti</dc:creator>
  <cp:keywords/>
  <dc:description/>
  <cp:lastModifiedBy>W Ti</cp:lastModifiedBy>
  <cp:revision>2</cp:revision>
  <dcterms:created xsi:type="dcterms:W3CDTF">2025-07-18T01:52:00Z</dcterms:created>
  <dcterms:modified xsi:type="dcterms:W3CDTF">2025-07-18T01:52:00Z</dcterms:modified>
</cp:coreProperties>
</file>